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6C36" w:rsidRPr="00A76C36" w:rsidRDefault="00A76C36" w:rsidP="00A76C36">
      <w:pPr>
        <w:shd w:val="clear" w:color="auto" w:fill="FFFFFF"/>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b/>
          <w:bCs/>
          <w:color w:val="000000" w:themeColor="text1"/>
          <w:sz w:val="28"/>
          <w:szCs w:val="28"/>
        </w:rPr>
        <w:t>41 lỗi phổ biến đối với người điều khiển ô tô và xe máy cần lưu ý:</w:t>
      </w:r>
    </w:p>
    <w:p w:rsidR="00A76C36" w:rsidRPr="00A76C36" w:rsidRDefault="00A76C36" w:rsidP="00A76C36">
      <w:pPr>
        <w:shd w:val="clear" w:color="auto" w:fill="FFFFFF"/>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b/>
          <w:bCs/>
          <w:i/>
          <w:iCs/>
          <w:color w:val="000000" w:themeColor="text1"/>
          <w:sz w:val="28"/>
          <w:szCs w:val="28"/>
        </w:rPr>
        <w:t>* 16 mức phạt mới của Nghị định 100/2019/NĐ-CP đối với ô tô</w:t>
      </w:r>
    </w:p>
    <w:tbl>
      <w:tblPr>
        <w:tblW w:w="9708"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4F5FA"/>
        <w:tblCellMar>
          <w:top w:w="136" w:type="dxa"/>
          <w:left w:w="136" w:type="dxa"/>
          <w:bottom w:w="136" w:type="dxa"/>
          <w:right w:w="136" w:type="dxa"/>
        </w:tblCellMar>
        <w:tblLook w:val="04A0" w:firstRow="1" w:lastRow="0" w:firstColumn="1" w:lastColumn="0" w:noHBand="0" w:noVBand="1"/>
      </w:tblPr>
      <w:tblGrid>
        <w:gridCol w:w="661"/>
        <w:gridCol w:w="4005"/>
        <w:gridCol w:w="2512"/>
        <w:gridCol w:w="2530"/>
      </w:tblGrid>
      <w:tr w:rsidR="00A76C36" w:rsidRPr="00A76C36" w:rsidTr="00A76C36">
        <w:trPr>
          <w:tblCellSpacing w:w="0" w:type="dxa"/>
        </w:trPr>
        <w:tc>
          <w:tcPr>
            <w:tcW w:w="661"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b/>
                <w:bCs/>
                <w:color w:val="000000" w:themeColor="text1"/>
                <w:sz w:val="28"/>
                <w:szCs w:val="28"/>
                <w:bdr w:val="none" w:sz="0" w:space="0" w:color="auto" w:frame="1"/>
              </w:rPr>
              <w:t>STT</w:t>
            </w:r>
          </w:p>
        </w:tc>
        <w:tc>
          <w:tcPr>
            <w:tcW w:w="4005"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center"/>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b/>
                <w:bCs/>
                <w:color w:val="000000" w:themeColor="text1"/>
                <w:sz w:val="28"/>
                <w:szCs w:val="28"/>
                <w:bdr w:val="none" w:sz="0" w:space="0" w:color="auto" w:frame="1"/>
              </w:rPr>
              <w:t>Lỗi</w:t>
            </w:r>
          </w:p>
        </w:tc>
        <w:tc>
          <w:tcPr>
            <w:tcW w:w="2512"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98"/>
              <w:jc w:val="center"/>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b/>
                <w:bCs/>
                <w:color w:val="000000" w:themeColor="text1"/>
                <w:sz w:val="28"/>
                <w:szCs w:val="28"/>
                <w:bdr w:val="none" w:sz="0" w:space="0" w:color="auto" w:frame="1"/>
              </w:rPr>
              <w:t>Mức phạt tại Nghị định 100</w:t>
            </w:r>
          </w:p>
        </w:tc>
        <w:tc>
          <w:tcPr>
            <w:tcW w:w="2530" w:type="dxa"/>
            <w:shd w:val="clear" w:color="auto" w:fill="auto"/>
            <w:tcMar>
              <w:top w:w="0" w:type="dxa"/>
              <w:left w:w="115" w:type="dxa"/>
              <w:bottom w:w="0" w:type="dxa"/>
              <w:right w:w="115" w:type="dxa"/>
            </w:tcMar>
            <w:vAlign w:val="bottom"/>
            <w:hideMark/>
          </w:tcPr>
          <w:p w:rsidR="00A76C36" w:rsidRPr="00A76C36" w:rsidRDefault="00A76C36" w:rsidP="00A76C36">
            <w:pPr>
              <w:spacing w:before="120" w:after="120" w:line="240" w:lineRule="auto"/>
              <w:jc w:val="center"/>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b/>
                <w:bCs/>
                <w:color w:val="000000" w:themeColor="text1"/>
                <w:sz w:val="28"/>
                <w:szCs w:val="28"/>
                <w:bdr w:val="none" w:sz="0" w:space="0" w:color="auto" w:frame="1"/>
              </w:rPr>
              <w:t>Mức phạt tại Nghị định 46</w:t>
            </w:r>
          </w:p>
        </w:tc>
      </w:tr>
      <w:tr w:rsidR="00A76C36" w:rsidRPr="00A76C36" w:rsidTr="00A76C36">
        <w:trPr>
          <w:tblCellSpacing w:w="0" w:type="dxa"/>
        </w:trPr>
        <w:tc>
          <w:tcPr>
            <w:tcW w:w="661"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w:t>
            </w:r>
          </w:p>
        </w:tc>
        <w:tc>
          <w:tcPr>
            <w:tcW w:w="4005"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Không chấp hành hiệu lệnh, chỉ dẫn của biển báo, vạch kẻ đường (trừ một số trường hợp)</w:t>
            </w:r>
          </w:p>
        </w:tc>
        <w:tc>
          <w:tcPr>
            <w:tcW w:w="2512"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98"/>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200.000 - 400.000 đồng</w:t>
            </w:r>
          </w:p>
        </w:tc>
        <w:tc>
          <w:tcPr>
            <w:tcW w:w="2530" w:type="dxa"/>
            <w:shd w:val="clear" w:color="auto" w:fill="auto"/>
            <w:tcMar>
              <w:top w:w="0" w:type="dxa"/>
              <w:left w:w="115" w:type="dxa"/>
              <w:bottom w:w="0" w:type="dxa"/>
              <w:right w:w="115"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100.000 - 200.000 đồng</w:t>
            </w:r>
          </w:p>
        </w:tc>
      </w:tr>
      <w:tr w:rsidR="00A76C36" w:rsidRPr="00A76C36" w:rsidTr="00A76C36">
        <w:trPr>
          <w:tblCellSpacing w:w="0" w:type="dxa"/>
        </w:trPr>
        <w:tc>
          <w:tcPr>
            <w:tcW w:w="661"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2</w:t>
            </w:r>
          </w:p>
        </w:tc>
        <w:tc>
          <w:tcPr>
            <w:tcW w:w="4005"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Chở người trên buồng lái quá số lượng quy định</w:t>
            </w:r>
          </w:p>
        </w:tc>
        <w:tc>
          <w:tcPr>
            <w:tcW w:w="2512"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98"/>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400.000 - 600.000 đồng</w:t>
            </w:r>
          </w:p>
        </w:tc>
        <w:tc>
          <w:tcPr>
            <w:tcW w:w="2530" w:type="dxa"/>
            <w:shd w:val="clear" w:color="auto" w:fill="auto"/>
            <w:tcMar>
              <w:top w:w="0" w:type="dxa"/>
              <w:left w:w="115" w:type="dxa"/>
              <w:bottom w:w="0" w:type="dxa"/>
              <w:right w:w="115"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300.000 đồng - 400.000 đồng</w:t>
            </w:r>
          </w:p>
        </w:tc>
      </w:tr>
      <w:tr w:rsidR="00A76C36" w:rsidRPr="00A76C36" w:rsidTr="00A76C36">
        <w:trPr>
          <w:tblCellSpacing w:w="0" w:type="dxa"/>
        </w:trPr>
        <w:tc>
          <w:tcPr>
            <w:tcW w:w="661"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3</w:t>
            </w:r>
          </w:p>
        </w:tc>
        <w:tc>
          <w:tcPr>
            <w:tcW w:w="4005"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Không thắt dây an toàn khi điều khiển xe</w:t>
            </w:r>
          </w:p>
        </w:tc>
        <w:tc>
          <w:tcPr>
            <w:tcW w:w="2512" w:type="dxa"/>
            <w:vMerge w:val="restart"/>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98"/>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800.000 - 01 triệu đồng</w:t>
            </w:r>
          </w:p>
        </w:tc>
        <w:tc>
          <w:tcPr>
            <w:tcW w:w="2530" w:type="dxa"/>
            <w:vMerge w:val="restart"/>
            <w:shd w:val="clear" w:color="auto" w:fill="auto"/>
            <w:tcMar>
              <w:top w:w="0" w:type="dxa"/>
              <w:left w:w="115" w:type="dxa"/>
              <w:bottom w:w="0" w:type="dxa"/>
              <w:right w:w="115"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100.000 - 200.000 đồng</w:t>
            </w:r>
          </w:p>
        </w:tc>
      </w:tr>
      <w:tr w:rsidR="00A76C36" w:rsidRPr="00A76C36" w:rsidTr="00A76C36">
        <w:trPr>
          <w:tblCellSpacing w:w="0" w:type="dxa"/>
        </w:trPr>
        <w:tc>
          <w:tcPr>
            <w:tcW w:w="661"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4</w:t>
            </w:r>
          </w:p>
        </w:tc>
        <w:tc>
          <w:tcPr>
            <w:tcW w:w="4005"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Chở người trên xe không thắt dây an toàn khi xe đang chạy</w:t>
            </w:r>
          </w:p>
        </w:tc>
        <w:tc>
          <w:tcPr>
            <w:tcW w:w="0" w:type="auto"/>
            <w:vMerge/>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98"/>
              <w:rPr>
                <w:rFonts w:asciiTheme="majorHAnsi" w:eastAsia="Times New Roman" w:hAnsiTheme="majorHAnsi" w:cstheme="majorHAnsi"/>
                <w:color w:val="000000" w:themeColor="text1"/>
                <w:sz w:val="28"/>
                <w:szCs w:val="28"/>
              </w:rPr>
            </w:pPr>
          </w:p>
        </w:tc>
        <w:tc>
          <w:tcPr>
            <w:tcW w:w="0" w:type="auto"/>
            <w:vMerge/>
            <w:shd w:val="clear" w:color="auto" w:fill="auto"/>
            <w:tcMar>
              <w:top w:w="0" w:type="dxa"/>
              <w:bottom w:w="0" w:type="dxa"/>
              <w:right w:w="0" w:type="dxa"/>
            </w:tcMar>
            <w:vAlign w:val="bottom"/>
            <w:hideMark/>
          </w:tcPr>
          <w:p w:rsidR="00A76C36" w:rsidRPr="00A76C36" w:rsidRDefault="00A76C36" w:rsidP="00A76C36">
            <w:pPr>
              <w:spacing w:before="120" w:after="120" w:line="240" w:lineRule="auto"/>
              <w:rPr>
                <w:rFonts w:asciiTheme="majorHAnsi" w:eastAsia="Times New Roman" w:hAnsiTheme="majorHAnsi" w:cstheme="majorHAnsi"/>
                <w:color w:val="000000" w:themeColor="text1"/>
                <w:sz w:val="28"/>
                <w:szCs w:val="28"/>
              </w:rPr>
            </w:pPr>
          </w:p>
        </w:tc>
      </w:tr>
      <w:tr w:rsidR="00A76C36" w:rsidRPr="00A76C36" w:rsidTr="00A76C36">
        <w:trPr>
          <w:tblCellSpacing w:w="0" w:type="dxa"/>
        </w:trPr>
        <w:tc>
          <w:tcPr>
            <w:tcW w:w="661"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5</w:t>
            </w:r>
          </w:p>
        </w:tc>
        <w:tc>
          <w:tcPr>
            <w:tcW w:w="4005"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Bấm còi, rú ga liên tục, sử dụng đèn chiếu xa trong khu dân cư (trừ xe ưu tiên)</w:t>
            </w:r>
          </w:p>
        </w:tc>
        <w:tc>
          <w:tcPr>
            <w:tcW w:w="2512"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98"/>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800.000 đồng – 01 triệu đồng</w:t>
            </w:r>
          </w:p>
        </w:tc>
        <w:tc>
          <w:tcPr>
            <w:tcW w:w="2530" w:type="dxa"/>
            <w:shd w:val="clear" w:color="auto" w:fill="auto"/>
            <w:tcMar>
              <w:top w:w="0" w:type="dxa"/>
              <w:left w:w="115" w:type="dxa"/>
              <w:bottom w:w="0" w:type="dxa"/>
              <w:right w:w="115"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600.000 – 800.000 đồng</w:t>
            </w:r>
          </w:p>
        </w:tc>
      </w:tr>
      <w:tr w:rsidR="00A76C36" w:rsidRPr="00A76C36" w:rsidTr="00A76C36">
        <w:trPr>
          <w:tblCellSpacing w:w="0" w:type="dxa"/>
        </w:trPr>
        <w:tc>
          <w:tcPr>
            <w:tcW w:w="661"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6</w:t>
            </w:r>
          </w:p>
        </w:tc>
        <w:tc>
          <w:tcPr>
            <w:tcW w:w="4005"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Dùng tay sử dụng điện thoại di động khi đang lái xe</w:t>
            </w:r>
          </w:p>
        </w:tc>
        <w:tc>
          <w:tcPr>
            <w:tcW w:w="2512"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98"/>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01 - 02 triệu đồng</w:t>
            </w:r>
          </w:p>
        </w:tc>
        <w:tc>
          <w:tcPr>
            <w:tcW w:w="2530" w:type="dxa"/>
            <w:shd w:val="clear" w:color="auto" w:fill="auto"/>
            <w:tcMar>
              <w:top w:w="0" w:type="dxa"/>
              <w:left w:w="115" w:type="dxa"/>
              <w:bottom w:w="0" w:type="dxa"/>
              <w:right w:w="115"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600.000 - 800.000 đồng</w:t>
            </w:r>
          </w:p>
        </w:tc>
      </w:tr>
      <w:tr w:rsidR="00A76C36" w:rsidRPr="00A76C36" w:rsidTr="00A76C36">
        <w:trPr>
          <w:tblCellSpacing w:w="0" w:type="dxa"/>
        </w:trPr>
        <w:tc>
          <w:tcPr>
            <w:tcW w:w="661"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7</w:t>
            </w:r>
          </w:p>
        </w:tc>
        <w:tc>
          <w:tcPr>
            <w:tcW w:w="4005"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Lái xe không đủ điều kiện để thu phí tự động không dừng đi vào làn đường dành riêng thu phí theo hình thức tự động không dừng tại các trạm thu phí</w:t>
            </w:r>
          </w:p>
        </w:tc>
        <w:tc>
          <w:tcPr>
            <w:tcW w:w="2512"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98"/>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01 – 02 triệu đồng</w:t>
            </w:r>
          </w:p>
        </w:tc>
        <w:tc>
          <w:tcPr>
            <w:tcW w:w="2530" w:type="dxa"/>
            <w:shd w:val="clear" w:color="auto" w:fill="auto"/>
            <w:tcMar>
              <w:top w:w="0" w:type="dxa"/>
              <w:left w:w="115" w:type="dxa"/>
              <w:bottom w:w="0" w:type="dxa"/>
              <w:right w:w="115"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Chưa quy định</w:t>
            </w:r>
          </w:p>
        </w:tc>
      </w:tr>
      <w:tr w:rsidR="00A76C36" w:rsidRPr="00A76C36" w:rsidTr="00A76C36">
        <w:trPr>
          <w:tblCellSpacing w:w="0" w:type="dxa"/>
        </w:trPr>
        <w:tc>
          <w:tcPr>
            <w:tcW w:w="661"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8</w:t>
            </w:r>
          </w:p>
        </w:tc>
        <w:tc>
          <w:tcPr>
            <w:tcW w:w="4005"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Vượt đèn đỏ, đèn vàng</w:t>
            </w:r>
          </w:p>
        </w:tc>
        <w:tc>
          <w:tcPr>
            <w:tcW w:w="2512" w:type="dxa"/>
            <w:vMerge w:val="restart"/>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98"/>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03 - 05 triệu đồng</w:t>
            </w:r>
          </w:p>
          <w:p w:rsidR="00A76C36" w:rsidRPr="00A76C36" w:rsidRDefault="00A76C36" w:rsidP="00A76C36">
            <w:pPr>
              <w:spacing w:before="120" w:after="120" w:line="240" w:lineRule="auto"/>
              <w:ind w:right="98"/>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i/>
                <w:iCs/>
                <w:color w:val="000000" w:themeColor="text1"/>
                <w:sz w:val="28"/>
                <w:szCs w:val="28"/>
                <w:bdr w:val="none" w:sz="0" w:space="0" w:color="auto" w:frame="1"/>
              </w:rPr>
              <w:t>(tước Bằng 01 - 03 tháng)</w:t>
            </w:r>
          </w:p>
        </w:tc>
        <w:tc>
          <w:tcPr>
            <w:tcW w:w="2530" w:type="dxa"/>
            <w:vMerge w:val="restart"/>
            <w:shd w:val="clear" w:color="auto" w:fill="auto"/>
            <w:tcMar>
              <w:top w:w="0" w:type="dxa"/>
              <w:left w:w="115" w:type="dxa"/>
              <w:bottom w:w="0" w:type="dxa"/>
              <w:right w:w="115"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1,2 - 02 triệu đồng</w:t>
            </w:r>
          </w:p>
        </w:tc>
      </w:tr>
      <w:tr w:rsidR="00A76C36" w:rsidRPr="00A76C36" w:rsidTr="00A76C36">
        <w:trPr>
          <w:tblCellSpacing w:w="0" w:type="dxa"/>
        </w:trPr>
        <w:tc>
          <w:tcPr>
            <w:tcW w:w="661"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9</w:t>
            </w:r>
          </w:p>
        </w:tc>
        <w:tc>
          <w:tcPr>
            <w:tcW w:w="4005"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Không chấp hành hiệu lệnh của CSGT</w:t>
            </w:r>
          </w:p>
        </w:tc>
        <w:tc>
          <w:tcPr>
            <w:tcW w:w="0" w:type="auto"/>
            <w:vMerge/>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98"/>
              <w:rPr>
                <w:rFonts w:asciiTheme="majorHAnsi" w:eastAsia="Times New Roman" w:hAnsiTheme="majorHAnsi" w:cstheme="majorHAnsi"/>
                <w:color w:val="000000" w:themeColor="text1"/>
                <w:sz w:val="28"/>
                <w:szCs w:val="28"/>
              </w:rPr>
            </w:pPr>
          </w:p>
        </w:tc>
        <w:tc>
          <w:tcPr>
            <w:tcW w:w="0" w:type="auto"/>
            <w:vMerge/>
            <w:shd w:val="clear" w:color="auto" w:fill="auto"/>
            <w:tcMar>
              <w:top w:w="0" w:type="dxa"/>
              <w:bottom w:w="0" w:type="dxa"/>
              <w:right w:w="0" w:type="dxa"/>
            </w:tcMar>
            <w:vAlign w:val="bottom"/>
            <w:hideMark/>
          </w:tcPr>
          <w:p w:rsidR="00A76C36" w:rsidRPr="00A76C36" w:rsidRDefault="00A76C36" w:rsidP="00A76C36">
            <w:pPr>
              <w:spacing w:before="120" w:after="120" w:line="240" w:lineRule="auto"/>
              <w:rPr>
                <w:rFonts w:asciiTheme="majorHAnsi" w:eastAsia="Times New Roman" w:hAnsiTheme="majorHAnsi" w:cstheme="majorHAnsi"/>
                <w:color w:val="000000" w:themeColor="text1"/>
                <w:sz w:val="28"/>
                <w:szCs w:val="28"/>
              </w:rPr>
            </w:pPr>
          </w:p>
        </w:tc>
      </w:tr>
      <w:tr w:rsidR="00A76C36" w:rsidRPr="00A76C36" w:rsidTr="00A76C36">
        <w:trPr>
          <w:tblCellSpacing w:w="0" w:type="dxa"/>
        </w:trPr>
        <w:tc>
          <w:tcPr>
            <w:tcW w:w="661"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10</w:t>
            </w:r>
          </w:p>
        </w:tc>
        <w:tc>
          <w:tcPr>
            <w:tcW w:w="4005"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Chạy quá tốc độ từ 05 - 10km</w:t>
            </w:r>
          </w:p>
        </w:tc>
        <w:tc>
          <w:tcPr>
            <w:tcW w:w="2512"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98"/>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800.000 - 01 triệu đồng</w:t>
            </w:r>
          </w:p>
        </w:tc>
        <w:tc>
          <w:tcPr>
            <w:tcW w:w="2530" w:type="dxa"/>
            <w:shd w:val="clear" w:color="auto" w:fill="auto"/>
            <w:tcMar>
              <w:top w:w="0" w:type="dxa"/>
              <w:left w:w="115" w:type="dxa"/>
              <w:bottom w:w="0" w:type="dxa"/>
              <w:right w:w="115"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600.000 - 800.000 đồng</w:t>
            </w:r>
          </w:p>
        </w:tc>
      </w:tr>
      <w:tr w:rsidR="00A76C36" w:rsidRPr="00A76C36" w:rsidTr="00A76C36">
        <w:trPr>
          <w:tblCellSpacing w:w="0" w:type="dxa"/>
        </w:trPr>
        <w:tc>
          <w:tcPr>
            <w:tcW w:w="661"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11</w:t>
            </w:r>
          </w:p>
        </w:tc>
        <w:tc>
          <w:tcPr>
            <w:tcW w:w="4005"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Chạy quá tốc độ từ 10 - 20km</w:t>
            </w:r>
          </w:p>
        </w:tc>
        <w:tc>
          <w:tcPr>
            <w:tcW w:w="2512"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98"/>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03 - 05 triệu đồng</w:t>
            </w:r>
          </w:p>
          <w:p w:rsidR="00A76C36" w:rsidRPr="00A76C36" w:rsidRDefault="00A76C36" w:rsidP="00A76C36">
            <w:pPr>
              <w:spacing w:before="120" w:after="120" w:line="240" w:lineRule="auto"/>
              <w:ind w:right="98"/>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i/>
                <w:iCs/>
                <w:color w:val="000000" w:themeColor="text1"/>
                <w:sz w:val="28"/>
                <w:szCs w:val="28"/>
                <w:bdr w:val="none" w:sz="0" w:space="0" w:color="auto" w:frame="1"/>
              </w:rPr>
              <w:t>(tước Bằng 01 - 03 tháng)</w:t>
            </w:r>
          </w:p>
        </w:tc>
        <w:tc>
          <w:tcPr>
            <w:tcW w:w="2530" w:type="dxa"/>
            <w:shd w:val="clear" w:color="auto" w:fill="auto"/>
            <w:tcMar>
              <w:top w:w="0" w:type="dxa"/>
              <w:left w:w="115" w:type="dxa"/>
              <w:bottom w:w="0" w:type="dxa"/>
              <w:right w:w="115"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02 - 03 triệu đồng</w:t>
            </w:r>
          </w:p>
        </w:tc>
      </w:tr>
      <w:tr w:rsidR="00A76C36" w:rsidRPr="00A76C36" w:rsidTr="00A76C36">
        <w:trPr>
          <w:tblCellSpacing w:w="0" w:type="dxa"/>
        </w:trPr>
        <w:tc>
          <w:tcPr>
            <w:tcW w:w="661"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12</w:t>
            </w:r>
          </w:p>
        </w:tc>
        <w:tc>
          <w:tcPr>
            <w:tcW w:w="4005"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Chạy quá tốc độ từ 20 - 35km</w:t>
            </w:r>
          </w:p>
        </w:tc>
        <w:tc>
          <w:tcPr>
            <w:tcW w:w="2512"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98"/>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06 – 08 triệu đồng</w:t>
            </w:r>
          </w:p>
          <w:p w:rsidR="00A76C36" w:rsidRPr="00A76C36" w:rsidRDefault="00A76C36" w:rsidP="00A76C36">
            <w:pPr>
              <w:spacing w:before="120" w:after="120" w:line="240" w:lineRule="auto"/>
              <w:ind w:right="98"/>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i/>
                <w:iCs/>
                <w:color w:val="000000" w:themeColor="text1"/>
                <w:sz w:val="28"/>
                <w:szCs w:val="28"/>
                <w:bdr w:val="none" w:sz="0" w:space="0" w:color="auto" w:frame="1"/>
              </w:rPr>
              <w:lastRenderedPageBreak/>
              <w:t>(tước Bằng từ 02 - 04 tháng)</w:t>
            </w:r>
          </w:p>
        </w:tc>
        <w:tc>
          <w:tcPr>
            <w:tcW w:w="2530" w:type="dxa"/>
            <w:shd w:val="clear" w:color="auto" w:fill="auto"/>
            <w:tcMar>
              <w:top w:w="0" w:type="dxa"/>
              <w:left w:w="115" w:type="dxa"/>
              <w:bottom w:w="0" w:type="dxa"/>
              <w:right w:w="115"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lastRenderedPageBreak/>
              <w:t>05 – 06 triệu đồng</w:t>
            </w:r>
          </w:p>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i/>
                <w:iCs/>
                <w:color w:val="000000" w:themeColor="text1"/>
                <w:sz w:val="28"/>
                <w:szCs w:val="28"/>
                <w:bdr w:val="none" w:sz="0" w:space="0" w:color="auto" w:frame="1"/>
              </w:rPr>
              <w:lastRenderedPageBreak/>
              <w:t>(tước Bằng từ 01 - 03 tháng)</w:t>
            </w:r>
          </w:p>
        </w:tc>
      </w:tr>
      <w:tr w:rsidR="00A76C36" w:rsidRPr="00A76C36" w:rsidTr="00A76C36">
        <w:trPr>
          <w:tblCellSpacing w:w="0" w:type="dxa"/>
        </w:trPr>
        <w:tc>
          <w:tcPr>
            <w:tcW w:w="661"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lastRenderedPageBreak/>
              <w:t>13</w:t>
            </w:r>
          </w:p>
        </w:tc>
        <w:tc>
          <w:tcPr>
            <w:tcW w:w="4005"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Chạy quá tốc độ từ 35km trở lên</w:t>
            </w:r>
          </w:p>
        </w:tc>
        <w:tc>
          <w:tcPr>
            <w:tcW w:w="2512"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98"/>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10 - 12 triệu đồng</w:t>
            </w:r>
          </w:p>
          <w:p w:rsidR="00A76C36" w:rsidRPr="00A76C36" w:rsidRDefault="00A76C36" w:rsidP="00A76C36">
            <w:pPr>
              <w:spacing w:before="120" w:after="120" w:line="240" w:lineRule="auto"/>
              <w:ind w:right="98"/>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i/>
                <w:iCs/>
                <w:color w:val="000000" w:themeColor="text1"/>
                <w:sz w:val="28"/>
                <w:szCs w:val="28"/>
                <w:bdr w:val="none" w:sz="0" w:space="0" w:color="auto" w:frame="1"/>
              </w:rPr>
              <w:t>(tước Bằng từ 02 - 04 tháng</w:t>
            </w:r>
          </w:p>
        </w:tc>
        <w:tc>
          <w:tcPr>
            <w:tcW w:w="2530" w:type="dxa"/>
            <w:shd w:val="clear" w:color="auto" w:fill="auto"/>
            <w:tcMar>
              <w:top w:w="0" w:type="dxa"/>
              <w:left w:w="115" w:type="dxa"/>
              <w:bottom w:w="0" w:type="dxa"/>
              <w:right w:w="115"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07 - 08 triệu đồng</w:t>
            </w:r>
          </w:p>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i/>
                <w:iCs/>
                <w:color w:val="000000" w:themeColor="text1"/>
                <w:sz w:val="28"/>
                <w:szCs w:val="28"/>
                <w:bdr w:val="none" w:sz="0" w:space="0" w:color="auto" w:frame="1"/>
              </w:rPr>
              <w:t>(tước Bằng từ 02 - 04 tháng)</w:t>
            </w:r>
          </w:p>
        </w:tc>
      </w:tr>
      <w:tr w:rsidR="00A76C36" w:rsidRPr="00A76C36" w:rsidTr="00A76C36">
        <w:trPr>
          <w:tblCellSpacing w:w="0" w:type="dxa"/>
        </w:trPr>
        <w:tc>
          <w:tcPr>
            <w:tcW w:w="661"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14</w:t>
            </w:r>
          </w:p>
        </w:tc>
        <w:tc>
          <w:tcPr>
            <w:tcW w:w="4005"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Nồng độ cồn chưa vượt quá 50 mg/100 ml máu hoặc 0,25 mg/1l khí thở;</w:t>
            </w:r>
          </w:p>
        </w:tc>
        <w:tc>
          <w:tcPr>
            <w:tcW w:w="2512"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98"/>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06 - 08 triệu đồng</w:t>
            </w:r>
          </w:p>
          <w:p w:rsidR="00A76C36" w:rsidRPr="00A76C36" w:rsidRDefault="00A76C36" w:rsidP="00A76C36">
            <w:pPr>
              <w:spacing w:before="120" w:after="120" w:line="240" w:lineRule="auto"/>
              <w:ind w:right="98"/>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i/>
                <w:iCs/>
                <w:color w:val="000000" w:themeColor="text1"/>
                <w:sz w:val="28"/>
                <w:szCs w:val="28"/>
                <w:bdr w:val="none" w:sz="0" w:space="0" w:color="auto" w:frame="1"/>
              </w:rPr>
              <w:t>(tước Bằng từ 10 - 12 tháng)</w:t>
            </w:r>
          </w:p>
        </w:tc>
        <w:tc>
          <w:tcPr>
            <w:tcW w:w="2530" w:type="dxa"/>
            <w:shd w:val="clear" w:color="auto" w:fill="auto"/>
            <w:tcMar>
              <w:top w:w="0" w:type="dxa"/>
              <w:left w:w="115" w:type="dxa"/>
              <w:bottom w:w="0" w:type="dxa"/>
              <w:right w:w="115"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02 - 03 triệu đồng</w:t>
            </w:r>
          </w:p>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i/>
                <w:iCs/>
                <w:color w:val="000000" w:themeColor="text1"/>
                <w:sz w:val="28"/>
                <w:szCs w:val="28"/>
                <w:bdr w:val="none" w:sz="0" w:space="0" w:color="auto" w:frame="1"/>
              </w:rPr>
              <w:t>(tước Bằng từ 02 - 04 tháng nếu gây tai nạn giao thông)</w:t>
            </w:r>
          </w:p>
        </w:tc>
      </w:tr>
      <w:tr w:rsidR="00A76C36" w:rsidRPr="00A76C36" w:rsidTr="00A76C36">
        <w:trPr>
          <w:tblCellSpacing w:w="0" w:type="dxa"/>
        </w:trPr>
        <w:tc>
          <w:tcPr>
            <w:tcW w:w="661"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15</w:t>
            </w:r>
          </w:p>
        </w:tc>
        <w:tc>
          <w:tcPr>
            <w:tcW w:w="4005"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Nồng độ cồn vượt quá 50 mgđến 80 mg/100 ml máu hoặc vượt quá 0,25 mg đến 0,4 mg/1l khí thở</w:t>
            </w:r>
          </w:p>
        </w:tc>
        <w:tc>
          <w:tcPr>
            <w:tcW w:w="2512"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98"/>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16 - 18 triệu đồng</w:t>
            </w:r>
          </w:p>
          <w:p w:rsidR="00A76C36" w:rsidRPr="00A76C36" w:rsidRDefault="00A76C36" w:rsidP="00A76C36">
            <w:pPr>
              <w:spacing w:before="120" w:after="120" w:line="240" w:lineRule="auto"/>
              <w:ind w:right="98"/>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i/>
                <w:iCs/>
                <w:color w:val="000000" w:themeColor="text1"/>
                <w:sz w:val="28"/>
                <w:szCs w:val="28"/>
                <w:bdr w:val="none" w:sz="0" w:space="0" w:color="auto" w:frame="1"/>
              </w:rPr>
              <w:t>(tước Bằng 16 - 18 tháng)</w:t>
            </w:r>
          </w:p>
        </w:tc>
        <w:tc>
          <w:tcPr>
            <w:tcW w:w="2530" w:type="dxa"/>
            <w:shd w:val="clear" w:color="auto" w:fill="auto"/>
            <w:tcMar>
              <w:top w:w="0" w:type="dxa"/>
              <w:left w:w="115" w:type="dxa"/>
              <w:bottom w:w="0" w:type="dxa"/>
              <w:right w:w="115"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07 - 08 triệu đồng</w:t>
            </w:r>
          </w:p>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i/>
                <w:iCs/>
                <w:color w:val="000000" w:themeColor="text1"/>
                <w:sz w:val="28"/>
                <w:szCs w:val="28"/>
                <w:bdr w:val="none" w:sz="0" w:space="0" w:color="auto" w:frame="1"/>
              </w:rPr>
              <w:t>(tước Bằng 03 - 05 tháng)</w:t>
            </w:r>
          </w:p>
        </w:tc>
      </w:tr>
      <w:tr w:rsidR="00A76C36" w:rsidRPr="00A76C36" w:rsidTr="00A76C36">
        <w:trPr>
          <w:tblCellSpacing w:w="0" w:type="dxa"/>
        </w:trPr>
        <w:tc>
          <w:tcPr>
            <w:tcW w:w="661"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16</w:t>
            </w:r>
          </w:p>
        </w:tc>
        <w:tc>
          <w:tcPr>
            <w:tcW w:w="4005"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Nồng độ cồn vượt quá 80 mg/100 ml máu hoặc vượt quá 0,4 mg/1 l khí thở;</w:t>
            </w:r>
          </w:p>
        </w:tc>
        <w:tc>
          <w:tcPr>
            <w:tcW w:w="2512"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ind w:right="98"/>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30 - 40 triệu đồng</w:t>
            </w:r>
          </w:p>
          <w:p w:rsidR="00A76C36" w:rsidRPr="00A76C36" w:rsidRDefault="00A76C36" w:rsidP="00A76C36">
            <w:pPr>
              <w:spacing w:before="120" w:after="120" w:line="240" w:lineRule="auto"/>
              <w:ind w:right="98"/>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i/>
                <w:iCs/>
                <w:color w:val="000000" w:themeColor="text1"/>
                <w:sz w:val="28"/>
                <w:szCs w:val="28"/>
                <w:bdr w:val="none" w:sz="0" w:space="0" w:color="auto" w:frame="1"/>
              </w:rPr>
              <w:t>(tước Bằng 22 - 24 tháng)</w:t>
            </w:r>
          </w:p>
        </w:tc>
        <w:tc>
          <w:tcPr>
            <w:tcW w:w="2530" w:type="dxa"/>
            <w:shd w:val="clear" w:color="auto" w:fill="auto"/>
            <w:tcMar>
              <w:top w:w="0" w:type="dxa"/>
              <w:left w:w="115" w:type="dxa"/>
              <w:bottom w:w="0" w:type="dxa"/>
              <w:right w:w="115"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16 - 18 triệu đồng</w:t>
            </w:r>
          </w:p>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i/>
                <w:iCs/>
                <w:color w:val="000000" w:themeColor="text1"/>
                <w:sz w:val="28"/>
                <w:szCs w:val="28"/>
                <w:bdr w:val="none" w:sz="0" w:space="0" w:color="auto" w:frame="1"/>
              </w:rPr>
              <w:t>(tước Bằng 04 - 06 tháng)</w:t>
            </w:r>
          </w:p>
        </w:tc>
      </w:tr>
    </w:tbl>
    <w:p w:rsidR="00A76C36" w:rsidRPr="00A76C36" w:rsidRDefault="00A76C36" w:rsidP="00A76C36">
      <w:pPr>
        <w:shd w:val="clear" w:color="auto" w:fill="FFFFFF"/>
        <w:spacing w:before="120" w:after="120" w:line="240" w:lineRule="auto"/>
        <w:jc w:val="both"/>
        <w:textAlignment w:val="baseline"/>
        <w:rPr>
          <w:rFonts w:asciiTheme="majorHAnsi" w:eastAsia="Times New Roman" w:hAnsiTheme="majorHAnsi" w:cstheme="majorHAnsi"/>
          <w:b/>
          <w:bCs/>
          <w:i/>
          <w:iCs/>
          <w:color w:val="000000" w:themeColor="text1"/>
          <w:sz w:val="28"/>
          <w:szCs w:val="28"/>
          <w:lang w:val="en-US"/>
        </w:rPr>
      </w:pPr>
    </w:p>
    <w:p w:rsidR="00A76C36" w:rsidRDefault="00A76C36" w:rsidP="00A76C36">
      <w:pPr>
        <w:shd w:val="clear" w:color="auto" w:fill="FFFFFF"/>
        <w:spacing w:before="120" w:after="120" w:line="240" w:lineRule="auto"/>
        <w:jc w:val="both"/>
        <w:textAlignment w:val="baseline"/>
        <w:rPr>
          <w:rFonts w:asciiTheme="majorHAnsi" w:eastAsia="Times New Roman" w:hAnsiTheme="majorHAnsi" w:cstheme="majorHAnsi"/>
          <w:b/>
          <w:bCs/>
          <w:i/>
          <w:iCs/>
          <w:color w:val="000000" w:themeColor="text1"/>
          <w:sz w:val="28"/>
          <w:szCs w:val="28"/>
          <w:lang w:val="en-US"/>
        </w:rPr>
      </w:pPr>
    </w:p>
    <w:p w:rsidR="00A76C36" w:rsidRDefault="00A76C36" w:rsidP="00A76C36">
      <w:pPr>
        <w:shd w:val="clear" w:color="auto" w:fill="FFFFFF"/>
        <w:spacing w:before="120" w:after="120" w:line="240" w:lineRule="auto"/>
        <w:jc w:val="both"/>
        <w:textAlignment w:val="baseline"/>
        <w:rPr>
          <w:rFonts w:asciiTheme="majorHAnsi" w:eastAsia="Times New Roman" w:hAnsiTheme="majorHAnsi" w:cstheme="majorHAnsi"/>
          <w:b/>
          <w:bCs/>
          <w:i/>
          <w:iCs/>
          <w:color w:val="000000" w:themeColor="text1"/>
          <w:sz w:val="28"/>
          <w:szCs w:val="28"/>
          <w:lang w:val="en-US"/>
        </w:rPr>
      </w:pPr>
    </w:p>
    <w:p w:rsidR="00A76C36" w:rsidRDefault="00A76C36" w:rsidP="00A76C36">
      <w:pPr>
        <w:shd w:val="clear" w:color="auto" w:fill="FFFFFF"/>
        <w:spacing w:before="120" w:after="120" w:line="240" w:lineRule="auto"/>
        <w:jc w:val="both"/>
        <w:textAlignment w:val="baseline"/>
        <w:rPr>
          <w:rFonts w:asciiTheme="majorHAnsi" w:eastAsia="Times New Roman" w:hAnsiTheme="majorHAnsi" w:cstheme="majorHAnsi"/>
          <w:b/>
          <w:bCs/>
          <w:i/>
          <w:iCs/>
          <w:color w:val="000000" w:themeColor="text1"/>
          <w:sz w:val="28"/>
          <w:szCs w:val="28"/>
          <w:lang w:val="en-US"/>
        </w:rPr>
      </w:pPr>
    </w:p>
    <w:p w:rsidR="00A76C36" w:rsidRDefault="00A76C36" w:rsidP="00A76C36">
      <w:pPr>
        <w:shd w:val="clear" w:color="auto" w:fill="FFFFFF"/>
        <w:spacing w:before="120" w:after="120" w:line="240" w:lineRule="auto"/>
        <w:jc w:val="both"/>
        <w:textAlignment w:val="baseline"/>
        <w:rPr>
          <w:rFonts w:asciiTheme="majorHAnsi" w:eastAsia="Times New Roman" w:hAnsiTheme="majorHAnsi" w:cstheme="majorHAnsi"/>
          <w:b/>
          <w:bCs/>
          <w:i/>
          <w:iCs/>
          <w:color w:val="000000" w:themeColor="text1"/>
          <w:sz w:val="28"/>
          <w:szCs w:val="28"/>
          <w:lang w:val="en-US"/>
        </w:rPr>
      </w:pPr>
    </w:p>
    <w:p w:rsidR="00A76C36" w:rsidRDefault="00A76C36" w:rsidP="00A76C36">
      <w:pPr>
        <w:shd w:val="clear" w:color="auto" w:fill="FFFFFF"/>
        <w:spacing w:before="120" w:after="120" w:line="240" w:lineRule="auto"/>
        <w:jc w:val="both"/>
        <w:textAlignment w:val="baseline"/>
        <w:rPr>
          <w:rFonts w:asciiTheme="majorHAnsi" w:eastAsia="Times New Roman" w:hAnsiTheme="majorHAnsi" w:cstheme="majorHAnsi"/>
          <w:b/>
          <w:bCs/>
          <w:i/>
          <w:iCs/>
          <w:color w:val="000000" w:themeColor="text1"/>
          <w:sz w:val="28"/>
          <w:szCs w:val="28"/>
          <w:lang w:val="en-US"/>
        </w:rPr>
      </w:pPr>
    </w:p>
    <w:p w:rsidR="00A76C36" w:rsidRDefault="00A76C36" w:rsidP="00A76C36">
      <w:pPr>
        <w:shd w:val="clear" w:color="auto" w:fill="FFFFFF"/>
        <w:spacing w:before="120" w:after="120" w:line="240" w:lineRule="auto"/>
        <w:jc w:val="both"/>
        <w:textAlignment w:val="baseline"/>
        <w:rPr>
          <w:rFonts w:asciiTheme="majorHAnsi" w:eastAsia="Times New Roman" w:hAnsiTheme="majorHAnsi" w:cstheme="majorHAnsi"/>
          <w:b/>
          <w:bCs/>
          <w:i/>
          <w:iCs/>
          <w:color w:val="000000" w:themeColor="text1"/>
          <w:sz w:val="28"/>
          <w:szCs w:val="28"/>
          <w:lang w:val="en-US"/>
        </w:rPr>
      </w:pPr>
    </w:p>
    <w:p w:rsidR="00A76C36" w:rsidRDefault="00A76C36" w:rsidP="00A76C36">
      <w:pPr>
        <w:shd w:val="clear" w:color="auto" w:fill="FFFFFF"/>
        <w:spacing w:before="120" w:after="120" w:line="240" w:lineRule="auto"/>
        <w:jc w:val="both"/>
        <w:textAlignment w:val="baseline"/>
        <w:rPr>
          <w:rFonts w:asciiTheme="majorHAnsi" w:eastAsia="Times New Roman" w:hAnsiTheme="majorHAnsi" w:cstheme="majorHAnsi"/>
          <w:b/>
          <w:bCs/>
          <w:i/>
          <w:iCs/>
          <w:color w:val="000000" w:themeColor="text1"/>
          <w:sz w:val="28"/>
          <w:szCs w:val="28"/>
          <w:lang w:val="en-US"/>
        </w:rPr>
      </w:pPr>
    </w:p>
    <w:p w:rsidR="00A76C36" w:rsidRDefault="00A76C36" w:rsidP="00A76C36">
      <w:pPr>
        <w:shd w:val="clear" w:color="auto" w:fill="FFFFFF"/>
        <w:spacing w:before="120" w:after="120" w:line="240" w:lineRule="auto"/>
        <w:jc w:val="both"/>
        <w:textAlignment w:val="baseline"/>
        <w:rPr>
          <w:rFonts w:asciiTheme="majorHAnsi" w:eastAsia="Times New Roman" w:hAnsiTheme="majorHAnsi" w:cstheme="majorHAnsi"/>
          <w:b/>
          <w:bCs/>
          <w:i/>
          <w:iCs/>
          <w:color w:val="000000" w:themeColor="text1"/>
          <w:sz w:val="28"/>
          <w:szCs w:val="28"/>
          <w:lang w:val="en-US"/>
        </w:rPr>
      </w:pPr>
    </w:p>
    <w:p w:rsidR="00A76C36" w:rsidRDefault="00A76C36" w:rsidP="00A76C36">
      <w:pPr>
        <w:shd w:val="clear" w:color="auto" w:fill="FFFFFF"/>
        <w:spacing w:before="120" w:after="120" w:line="240" w:lineRule="auto"/>
        <w:jc w:val="both"/>
        <w:textAlignment w:val="baseline"/>
        <w:rPr>
          <w:rFonts w:asciiTheme="majorHAnsi" w:eastAsia="Times New Roman" w:hAnsiTheme="majorHAnsi" w:cstheme="majorHAnsi"/>
          <w:b/>
          <w:bCs/>
          <w:i/>
          <w:iCs/>
          <w:color w:val="000000" w:themeColor="text1"/>
          <w:sz w:val="28"/>
          <w:szCs w:val="28"/>
          <w:lang w:val="en-US"/>
        </w:rPr>
      </w:pPr>
    </w:p>
    <w:p w:rsidR="00A76C36" w:rsidRDefault="00A76C36" w:rsidP="00A76C36">
      <w:pPr>
        <w:shd w:val="clear" w:color="auto" w:fill="FFFFFF"/>
        <w:spacing w:before="120" w:after="120" w:line="240" w:lineRule="auto"/>
        <w:jc w:val="both"/>
        <w:textAlignment w:val="baseline"/>
        <w:rPr>
          <w:rFonts w:asciiTheme="majorHAnsi" w:eastAsia="Times New Roman" w:hAnsiTheme="majorHAnsi" w:cstheme="majorHAnsi"/>
          <w:b/>
          <w:bCs/>
          <w:i/>
          <w:iCs/>
          <w:color w:val="000000" w:themeColor="text1"/>
          <w:sz w:val="28"/>
          <w:szCs w:val="28"/>
          <w:lang w:val="en-US"/>
        </w:rPr>
      </w:pPr>
    </w:p>
    <w:p w:rsidR="00A76C36" w:rsidRDefault="00A76C36" w:rsidP="00A76C36">
      <w:pPr>
        <w:shd w:val="clear" w:color="auto" w:fill="FFFFFF"/>
        <w:spacing w:before="120" w:after="120" w:line="240" w:lineRule="auto"/>
        <w:jc w:val="both"/>
        <w:textAlignment w:val="baseline"/>
        <w:rPr>
          <w:rFonts w:asciiTheme="majorHAnsi" w:eastAsia="Times New Roman" w:hAnsiTheme="majorHAnsi" w:cstheme="majorHAnsi"/>
          <w:b/>
          <w:bCs/>
          <w:i/>
          <w:iCs/>
          <w:color w:val="000000" w:themeColor="text1"/>
          <w:sz w:val="28"/>
          <w:szCs w:val="28"/>
          <w:lang w:val="en-US"/>
        </w:rPr>
      </w:pPr>
    </w:p>
    <w:p w:rsidR="00A76C36" w:rsidRDefault="00A76C36" w:rsidP="00A76C36">
      <w:pPr>
        <w:shd w:val="clear" w:color="auto" w:fill="FFFFFF"/>
        <w:spacing w:before="120" w:after="120" w:line="240" w:lineRule="auto"/>
        <w:jc w:val="both"/>
        <w:textAlignment w:val="baseline"/>
        <w:rPr>
          <w:rFonts w:asciiTheme="majorHAnsi" w:eastAsia="Times New Roman" w:hAnsiTheme="majorHAnsi" w:cstheme="majorHAnsi"/>
          <w:b/>
          <w:bCs/>
          <w:i/>
          <w:iCs/>
          <w:color w:val="000000" w:themeColor="text1"/>
          <w:sz w:val="28"/>
          <w:szCs w:val="28"/>
          <w:lang w:val="en-US"/>
        </w:rPr>
      </w:pPr>
    </w:p>
    <w:p w:rsidR="00A76C36" w:rsidRDefault="00A76C36" w:rsidP="00A76C36">
      <w:pPr>
        <w:shd w:val="clear" w:color="auto" w:fill="FFFFFF"/>
        <w:spacing w:before="120" w:after="120" w:line="240" w:lineRule="auto"/>
        <w:jc w:val="both"/>
        <w:textAlignment w:val="baseline"/>
        <w:rPr>
          <w:rFonts w:asciiTheme="majorHAnsi" w:eastAsia="Times New Roman" w:hAnsiTheme="majorHAnsi" w:cstheme="majorHAnsi"/>
          <w:b/>
          <w:bCs/>
          <w:i/>
          <w:iCs/>
          <w:color w:val="000000" w:themeColor="text1"/>
          <w:sz w:val="28"/>
          <w:szCs w:val="28"/>
          <w:lang w:val="en-US"/>
        </w:rPr>
      </w:pPr>
    </w:p>
    <w:p w:rsidR="00A76C36" w:rsidRDefault="00A76C36" w:rsidP="00A76C36">
      <w:pPr>
        <w:shd w:val="clear" w:color="auto" w:fill="FFFFFF"/>
        <w:spacing w:before="120" w:after="120" w:line="240" w:lineRule="auto"/>
        <w:jc w:val="both"/>
        <w:textAlignment w:val="baseline"/>
        <w:rPr>
          <w:rFonts w:asciiTheme="majorHAnsi" w:eastAsia="Times New Roman" w:hAnsiTheme="majorHAnsi" w:cstheme="majorHAnsi"/>
          <w:b/>
          <w:bCs/>
          <w:i/>
          <w:iCs/>
          <w:color w:val="000000" w:themeColor="text1"/>
          <w:sz w:val="28"/>
          <w:szCs w:val="28"/>
          <w:lang w:val="en-US"/>
        </w:rPr>
      </w:pPr>
    </w:p>
    <w:p w:rsidR="00A76C36" w:rsidRDefault="00A76C36" w:rsidP="00A76C36">
      <w:pPr>
        <w:shd w:val="clear" w:color="auto" w:fill="FFFFFF"/>
        <w:spacing w:before="120" w:after="120" w:line="240" w:lineRule="auto"/>
        <w:jc w:val="both"/>
        <w:textAlignment w:val="baseline"/>
        <w:rPr>
          <w:rFonts w:asciiTheme="majorHAnsi" w:eastAsia="Times New Roman" w:hAnsiTheme="majorHAnsi" w:cstheme="majorHAnsi"/>
          <w:b/>
          <w:bCs/>
          <w:i/>
          <w:iCs/>
          <w:color w:val="000000" w:themeColor="text1"/>
          <w:sz w:val="28"/>
          <w:szCs w:val="28"/>
          <w:lang w:val="en-US"/>
        </w:rPr>
      </w:pPr>
    </w:p>
    <w:p w:rsidR="00A76C36" w:rsidRDefault="00A76C36" w:rsidP="00A76C36">
      <w:pPr>
        <w:shd w:val="clear" w:color="auto" w:fill="FFFFFF"/>
        <w:spacing w:before="120" w:after="120" w:line="240" w:lineRule="auto"/>
        <w:jc w:val="both"/>
        <w:textAlignment w:val="baseline"/>
        <w:rPr>
          <w:rFonts w:asciiTheme="majorHAnsi" w:eastAsia="Times New Roman" w:hAnsiTheme="majorHAnsi" w:cstheme="majorHAnsi"/>
          <w:b/>
          <w:bCs/>
          <w:i/>
          <w:iCs/>
          <w:color w:val="000000" w:themeColor="text1"/>
          <w:sz w:val="28"/>
          <w:szCs w:val="28"/>
          <w:lang w:val="en-US"/>
        </w:rPr>
      </w:pPr>
    </w:p>
    <w:p w:rsidR="00A76C36" w:rsidRDefault="00A76C36" w:rsidP="00A76C36">
      <w:pPr>
        <w:shd w:val="clear" w:color="auto" w:fill="FFFFFF"/>
        <w:spacing w:before="120" w:after="120" w:line="240" w:lineRule="auto"/>
        <w:jc w:val="both"/>
        <w:textAlignment w:val="baseline"/>
        <w:rPr>
          <w:rFonts w:asciiTheme="majorHAnsi" w:eastAsia="Times New Roman" w:hAnsiTheme="majorHAnsi" w:cstheme="majorHAnsi"/>
          <w:b/>
          <w:bCs/>
          <w:i/>
          <w:iCs/>
          <w:color w:val="000000" w:themeColor="text1"/>
          <w:sz w:val="28"/>
          <w:szCs w:val="28"/>
          <w:lang w:val="en-US"/>
        </w:rPr>
      </w:pPr>
    </w:p>
    <w:p w:rsidR="00A76C36" w:rsidRPr="00A76C36" w:rsidRDefault="00A76C36" w:rsidP="00A76C36">
      <w:pPr>
        <w:shd w:val="clear" w:color="auto" w:fill="FFFFFF"/>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b/>
          <w:bCs/>
          <w:i/>
          <w:iCs/>
          <w:color w:val="000000" w:themeColor="text1"/>
          <w:sz w:val="28"/>
          <w:szCs w:val="28"/>
          <w:lang w:val="en-US"/>
        </w:rPr>
        <w:lastRenderedPageBreak/>
        <w:t xml:space="preserve">* </w:t>
      </w:r>
      <w:r w:rsidRPr="00A76C36">
        <w:rPr>
          <w:rFonts w:asciiTheme="majorHAnsi" w:eastAsia="Times New Roman" w:hAnsiTheme="majorHAnsi" w:cstheme="majorHAnsi"/>
          <w:b/>
          <w:bCs/>
          <w:i/>
          <w:iCs/>
          <w:color w:val="000000" w:themeColor="text1"/>
          <w:sz w:val="28"/>
          <w:szCs w:val="28"/>
        </w:rPr>
        <w:t>25 mức phạt mới của Nghị định 100/2019/NĐ-CP đối với xe máy</w:t>
      </w:r>
    </w:p>
    <w:tbl>
      <w:tblPr>
        <w:tblW w:w="9774"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4F5FA"/>
        <w:tblCellMar>
          <w:top w:w="136" w:type="dxa"/>
          <w:left w:w="136" w:type="dxa"/>
          <w:bottom w:w="136" w:type="dxa"/>
          <w:right w:w="136" w:type="dxa"/>
        </w:tblCellMar>
        <w:tblLook w:val="04A0" w:firstRow="1" w:lastRow="0" w:firstColumn="1" w:lastColumn="0" w:noHBand="0" w:noVBand="1"/>
      </w:tblPr>
      <w:tblGrid>
        <w:gridCol w:w="633"/>
        <w:gridCol w:w="3188"/>
        <w:gridCol w:w="2976"/>
        <w:gridCol w:w="2977"/>
      </w:tblGrid>
      <w:tr w:rsidR="00A76C36" w:rsidRPr="00A76C36" w:rsidTr="00A76C36">
        <w:trPr>
          <w:trHeight w:val="30"/>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STT</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jc w:val="center"/>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Lỗi</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center"/>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Mức phạt tại Nghị định 100/2019</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center"/>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Mức phạt tại Nghị định 46/2016</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Không xi nhan khi chuyển làn</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100.000 - 200.000 đồng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80.000 - 100.000 đồng</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2</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Không xi nhan khi chuyển hướng</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400.000 - 600.000 đồng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300.000 - 400.000 đồng</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3</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Chở theo 02 người</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200.000 - 300.000 đồng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100.000 - 200.000 đồng</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4</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Chở theo 03 người</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400.000 - 600.000 đồng</w:t>
            </w:r>
          </w:p>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(tước Bằng từ 01 - 03 tháng)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300.000 - 400.000 đồng (tước Bằng từ 01 - 03 tháng)</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5</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Không xi nhan, còi khi vượt trước</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100.000 - 200.000 đồng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60.000 - 80.000 đồng</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6</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Dùng điện thoại, thiết bị âm thanh (trừ thiết bị trợ thính)</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600.000 - 01 triệu đồng</w:t>
            </w:r>
          </w:p>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(tước Bằng từ 01 - 03 tháng)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100.000 - 200.000 đồng</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7</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Vượt đèn đỏ</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600.000 - 01 triệu đồng</w:t>
            </w:r>
          </w:p>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(tước Bằng từ 01 - 03 tháng)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300.000 - 400.000 đồng (bị tước Bằng từ 01 - 03 tháng)</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8</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Sai làn</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400.000 - 600.000 đồng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300.000 - 400.000 đồng</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9</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Đi ngược chiều</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01 - 02 triệu đồng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300.000 - 400.000 đồng</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10</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Đi vào đường cấm</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400.000 - 600.000 đồng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300.000 - 400.000 đồng</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11</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Không gương chiếu hậu</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100.000 - 200.000 đồng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80.000 - 100.000 đồng</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12</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Không mang Bằng</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100.000 - 200.000 đồng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80.000 - 100.000 đồng</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lastRenderedPageBreak/>
              <w:t>13</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Không có Bằng</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800.000 đồng - 1.2 triệu đồng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800.000 đồng - 1.2 triệu đồng</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14</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Không mang đăng ký xe</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100.000 - 200.000 đồng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80.000 - 120.000 đồng</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15</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Không có đăng ký xe</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300.000 - 400.000 đồng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300.000 - 400.000 đồng</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16</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Không có hoặc không mang bảo hiểm</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100.000 - 200.000 đồng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80.000 - 120.000 đồng</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17</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Không đội mũ bảo hiểm</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200.000 - 300.000 đồng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100.000 - 200.000 đồng</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18</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Vượt phải</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400.000 - 600.000 đồng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300.000 - 400.000 đồng</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19</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Dừng, đỗ không đúng nơi quy định</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200.000 - 300.000 đồng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100.000 - 200.000 đồng</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20</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Có nồng độ cồn nhưng chưa vượt quá 50 mg/100 ml máu hoặc dưới 0.25 mg/1 lít khí thở</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02 - 03 triệu đồng</w:t>
            </w:r>
          </w:p>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(tước Bằng từ 10 - 12 tháng)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Không phạt</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21</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Nồng độ cồn vượt quá 50 mg đến 80 mg/100 ml máu hoặc vượt quá 0.25 đến 0.4 mg/1 lít khí thở</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04 - 05 triệu đồng</w:t>
            </w:r>
          </w:p>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(tước Bằng từ 16 - 18 tháng)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01 - 02 triệu đồng (tước Bằng từ 01 - 03 tháng)</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22</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Nồng độ cồn vượt quá 80 mg/100 ml máu hoặc vượt quá 0.4 mg/1 lít khí thở</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06 - 08 triệu đồng</w:t>
            </w:r>
          </w:p>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(tước Bằng từ 22 - 24 tháng)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03 - 04 triệu đồng (tước Bằng từ 03 - 05 tháng)</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23</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Chạy quá tốc độ quy định từ 05 đến dưới 10 km/h</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200.000 - 300.000 đồng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100.000 - 200.000 đồng</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24</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Chạy quá tốc độ quy định từ 10 đến 20 km/h</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600.000 đồng - 01 triệu đồng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500.000 đồng - 01 triệu đồng</w:t>
            </w:r>
          </w:p>
        </w:tc>
      </w:tr>
      <w:tr w:rsidR="00A76C36" w:rsidRPr="00A76C36" w:rsidTr="00A76C36">
        <w:trPr>
          <w:tblCellSpacing w:w="0" w:type="dxa"/>
        </w:trPr>
        <w:tc>
          <w:tcPr>
            <w:tcW w:w="633" w:type="dxa"/>
            <w:shd w:val="clear" w:color="auto" w:fill="auto"/>
            <w:tcMar>
              <w:top w:w="0" w:type="dxa"/>
              <w:left w:w="115" w:type="dxa"/>
              <w:bottom w:w="0" w:type="dxa"/>
              <w:right w:w="0" w:type="dxa"/>
            </w:tcMar>
            <w:vAlign w:val="bottom"/>
            <w:hideMark/>
          </w:tcPr>
          <w:p w:rsidR="00A76C36" w:rsidRPr="00A76C36" w:rsidRDefault="00A76C36" w:rsidP="00A76C36">
            <w:pPr>
              <w:spacing w:before="120" w:after="120" w:line="240" w:lineRule="auto"/>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25</w:t>
            </w:r>
          </w:p>
        </w:tc>
        <w:tc>
          <w:tcPr>
            <w:tcW w:w="3188" w:type="dxa"/>
            <w:shd w:val="clear" w:color="auto" w:fill="auto"/>
            <w:tcMar>
              <w:top w:w="0" w:type="dxa"/>
              <w:left w:w="0" w:type="dxa"/>
              <w:bottom w:w="0" w:type="dxa"/>
              <w:right w:w="0" w:type="dxa"/>
            </w:tcMar>
            <w:vAlign w:val="bottom"/>
            <w:hideMark/>
          </w:tcPr>
          <w:p w:rsidR="00A76C36" w:rsidRPr="00A76C36" w:rsidRDefault="00A76C36" w:rsidP="00A76C36">
            <w:pPr>
              <w:spacing w:before="120" w:after="120" w:line="240" w:lineRule="auto"/>
              <w:ind w:right="142"/>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Chạy quá tốc độ quy định trên 20 km/h</w:t>
            </w:r>
          </w:p>
        </w:tc>
        <w:tc>
          <w:tcPr>
            <w:tcW w:w="2976"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04 - 05 triệu đồng</w:t>
            </w:r>
          </w:p>
          <w:p w:rsidR="00A76C36" w:rsidRPr="00A76C36" w:rsidRDefault="00A76C36" w:rsidP="00A76C36">
            <w:pPr>
              <w:spacing w:before="120" w:after="120" w:line="240" w:lineRule="auto"/>
              <w:ind w:right="14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(tước Bằng từ 02 - 04 tháng)</w:t>
            </w:r>
          </w:p>
        </w:tc>
        <w:tc>
          <w:tcPr>
            <w:tcW w:w="2977" w:type="dxa"/>
            <w:shd w:val="clear" w:color="auto" w:fill="auto"/>
            <w:tcMar>
              <w:top w:w="0" w:type="dxa"/>
              <w:bottom w:w="0" w:type="dxa"/>
              <w:right w:w="0" w:type="dxa"/>
            </w:tcMar>
            <w:vAlign w:val="bottom"/>
            <w:hideMark/>
          </w:tcPr>
          <w:p w:rsidR="00A76C36" w:rsidRPr="00A76C36" w:rsidRDefault="00A76C36" w:rsidP="00A76C36">
            <w:pPr>
              <w:spacing w:before="120" w:after="120" w:line="240" w:lineRule="auto"/>
              <w:ind w:right="121"/>
              <w:jc w:val="both"/>
              <w:textAlignment w:val="baseline"/>
              <w:rPr>
                <w:rFonts w:asciiTheme="majorHAnsi" w:eastAsia="Times New Roman" w:hAnsiTheme="majorHAnsi" w:cstheme="majorHAnsi"/>
                <w:color w:val="000000" w:themeColor="text1"/>
                <w:sz w:val="28"/>
                <w:szCs w:val="28"/>
              </w:rPr>
            </w:pPr>
            <w:r w:rsidRPr="00A76C36">
              <w:rPr>
                <w:rFonts w:asciiTheme="majorHAnsi" w:eastAsia="Times New Roman" w:hAnsiTheme="majorHAnsi" w:cstheme="majorHAnsi"/>
                <w:color w:val="000000" w:themeColor="text1"/>
                <w:sz w:val="28"/>
                <w:szCs w:val="28"/>
              </w:rPr>
              <w:t>03 - 04 triệu đồng (tước Bằng từ 01 - 03 tháng)</w:t>
            </w:r>
          </w:p>
        </w:tc>
      </w:tr>
    </w:tbl>
    <w:p w:rsidR="003C47A6" w:rsidRPr="00F8346A" w:rsidRDefault="003C47A6" w:rsidP="00F8346A">
      <w:pPr>
        <w:spacing w:before="120" w:after="120" w:line="240" w:lineRule="auto"/>
        <w:rPr>
          <w:rFonts w:asciiTheme="majorHAnsi" w:hAnsiTheme="majorHAnsi" w:cstheme="majorHAnsi"/>
          <w:color w:val="000000" w:themeColor="text1"/>
          <w:sz w:val="28"/>
          <w:szCs w:val="28"/>
          <w:lang w:val="en-US"/>
        </w:rPr>
      </w:pPr>
      <w:bookmarkStart w:id="0" w:name="_GoBack"/>
      <w:bookmarkEnd w:id="0"/>
    </w:p>
    <w:sectPr w:rsidR="003C47A6" w:rsidRPr="00F8346A" w:rsidSect="00A76C36">
      <w:pgSz w:w="11906" w:h="16838" w:code="9"/>
      <w:pgMar w:top="907" w:right="1134" w:bottom="851"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compat>
    <w:useFELayout/>
    <w:compatSetting w:name="compatibilityMode" w:uri="http://schemas.microsoft.com/office/word" w:val="12"/>
  </w:compat>
  <w:rsids>
    <w:rsidRoot w:val="00A76C36"/>
    <w:rsid w:val="000D0CC8"/>
    <w:rsid w:val="003C47A6"/>
    <w:rsid w:val="00A76C36"/>
    <w:rsid w:val="00B43BAF"/>
    <w:rsid w:val="00F834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vi-VN" w:eastAsia="vi-V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0C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body">
    <w:name w:val="pbody"/>
    <w:basedOn w:val="Normal"/>
    <w:rsid w:val="00A76C3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76C36"/>
    <w:rPr>
      <w:b/>
      <w:bCs/>
    </w:rPr>
  </w:style>
  <w:style w:type="character" w:styleId="Emphasis">
    <w:name w:val="Emphasis"/>
    <w:basedOn w:val="DefaultParagraphFont"/>
    <w:uiPriority w:val="20"/>
    <w:qFormat/>
    <w:rsid w:val="00A76C36"/>
    <w:rPr>
      <w:i/>
      <w:iCs/>
    </w:rPr>
  </w:style>
  <w:style w:type="paragraph" w:styleId="ListParagraph">
    <w:name w:val="List Paragraph"/>
    <w:basedOn w:val="Normal"/>
    <w:uiPriority w:val="34"/>
    <w:qFormat/>
    <w:rsid w:val="00A76C3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1583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33EB478-6CE0-441F-8B5F-C6C5572686D7}"/>
</file>

<file path=customXml/itemProps2.xml><?xml version="1.0" encoding="utf-8"?>
<ds:datastoreItem xmlns:ds="http://schemas.openxmlformats.org/officeDocument/2006/customXml" ds:itemID="{6C814B42-B912-4F8E-85D5-D1B59190D6E5}"/>
</file>

<file path=customXml/itemProps3.xml><?xml version="1.0" encoding="utf-8"?>
<ds:datastoreItem xmlns:ds="http://schemas.openxmlformats.org/officeDocument/2006/customXml" ds:itemID="{351455C4-BC6E-4629-B136-E8FA5CD038A9}"/>
</file>

<file path=docProps/app.xml><?xml version="1.0" encoding="utf-8"?>
<Properties xmlns="http://schemas.openxmlformats.org/officeDocument/2006/extended-properties" xmlns:vt="http://schemas.openxmlformats.org/officeDocument/2006/docPropsVTypes">
  <Template>Normal</Template>
  <TotalTime>4</TotalTime>
  <Pages>5</Pages>
  <Words>692</Words>
  <Characters>3951</Characters>
  <Application>Microsoft Office Word</Application>
  <DocSecurity>0</DocSecurity>
  <Lines>32</Lines>
  <Paragraphs>9</Paragraphs>
  <ScaleCrop>false</ScaleCrop>
  <Company/>
  <LinksUpToDate>false</LinksUpToDate>
  <CharactersWithSpaces>4634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Nguyễn Thị Bích</dc:creator>
  <cp:lastModifiedBy>MAMBO</cp:lastModifiedBy>
  <cp:revision>3</cp:revision>
  <dcterms:created xsi:type="dcterms:W3CDTF">2020-07-06T09:25:00Z</dcterms:created>
  <dcterms:modified xsi:type="dcterms:W3CDTF">2020-07-07T04:08:00Z</dcterms:modified>
</cp:coreProperties>
</file>